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30" w:type="dxa"/>
        <w:shd w:val="clear" w:color="auto" w:fill="F2F2F2"/>
        <w:tblCellMar>
          <w:left w:w="0" w:type="dxa"/>
          <w:right w:w="0" w:type="dxa"/>
        </w:tblCellMar>
        <w:tblLook w:val="04A0"/>
      </w:tblPr>
      <w:tblGrid>
        <w:gridCol w:w="9990"/>
      </w:tblGrid>
      <w:tr w:rsidR="008B4061" w:rsidRPr="008B4061" w:rsidTr="00DD1935">
        <w:tc>
          <w:tcPr>
            <w:tcW w:w="0" w:type="auto"/>
            <w:shd w:val="clear" w:color="auto" w:fill="F2F2F2"/>
            <w:hideMark/>
          </w:tcPr>
          <w:tbl>
            <w:tblPr>
              <w:tblW w:w="9000" w:type="dxa"/>
              <w:jc w:val="center"/>
              <w:shd w:val="clear" w:color="auto" w:fill="FFFFFF"/>
              <w:tblCellMar>
                <w:left w:w="0" w:type="dxa"/>
                <w:right w:w="0" w:type="dxa"/>
              </w:tblCellMar>
              <w:tblLook w:val="04A0"/>
            </w:tblPr>
            <w:tblGrid>
              <w:gridCol w:w="9000"/>
            </w:tblGrid>
            <w:tr w:rsidR="008B4061" w:rsidRPr="008B4061">
              <w:trPr>
                <w:jc w:val="center"/>
              </w:trPr>
              <w:tc>
                <w:tcPr>
                  <w:tcW w:w="0" w:type="auto"/>
                  <w:shd w:val="clear" w:color="auto" w:fill="FFFFFF"/>
                  <w:tcMar>
                    <w:top w:w="151" w:type="dxa"/>
                    <w:left w:w="0" w:type="dxa"/>
                    <w:bottom w:w="0" w:type="dxa"/>
                    <w:right w:w="0" w:type="dxa"/>
                  </w:tcMar>
                  <w:hideMark/>
                </w:tcPr>
                <w:tbl>
                  <w:tblPr>
                    <w:tblW w:w="5000" w:type="pct"/>
                    <w:tblCellMar>
                      <w:left w:w="0" w:type="dxa"/>
                      <w:right w:w="0" w:type="dxa"/>
                    </w:tblCellMar>
                    <w:tblLook w:val="04A0"/>
                  </w:tblPr>
                  <w:tblGrid>
                    <w:gridCol w:w="9000"/>
                  </w:tblGrid>
                  <w:tr w:rsidR="008B4061" w:rsidRPr="008B4061" w:rsidTr="0016530E">
                    <w:tc>
                      <w:tcPr>
                        <w:tcW w:w="0" w:type="auto"/>
                        <w:vAlign w:val="center"/>
                        <w:hideMark/>
                      </w:tcPr>
                      <w:p w:rsidR="008B4061" w:rsidRPr="008B4061" w:rsidRDefault="0016530E" w:rsidP="0016530E">
                        <w:pPr>
                          <w:spacing w:after="0" w:line="240" w:lineRule="auto"/>
                          <w:jc w:val="center"/>
                          <w:rPr>
                            <w:rFonts w:ascii="Times New Roman" w:eastAsia="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8240" behindDoc="0" locked="0" layoutInCell="1" allowOverlap="0">
                              <wp:simplePos x="0" y="0"/>
                              <wp:positionH relativeFrom="column">
                                <wp:posOffset>676275</wp:posOffset>
                              </wp:positionH>
                              <wp:positionV relativeFrom="line">
                                <wp:posOffset>-100330</wp:posOffset>
                              </wp:positionV>
                              <wp:extent cx="5372100" cy="981075"/>
                              <wp:effectExtent l="19050" t="0" r="0" b="0"/>
                              <wp:wrapSquare wrapText="bothSides"/>
                              <wp:docPr id="2" name="Picture 2" descr="https://gallery.mailchimp.com/5da0fed71c7e4399fb28ab549/images/newslette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5da0fed71c7e4399fb28ab549/images/newsletter_BLUE.jpg"/>
                                      <pic:cNvPicPr>
                                        <a:picLocks noChangeAspect="1" noChangeArrowheads="1"/>
                                      </pic:cNvPicPr>
                                    </pic:nvPicPr>
                                    <pic:blipFill>
                                      <a:blip r:link="rId5"/>
                                      <a:srcRect/>
                                      <a:stretch>
                                        <a:fillRect/>
                                      </a:stretch>
                                    </pic:blipFill>
                                    <pic:spPr bwMode="auto">
                                      <a:xfrm>
                                        <a:off x="0" y="0"/>
                                        <a:ext cx="5372100" cy="981075"/>
                                      </a:xfrm>
                                      <a:prstGeom prst="rect">
                                        <a:avLst/>
                                      </a:prstGeom>
                                      <a:noFill/>
                                    </pic:spPr>
                                  </pic:pic>
                                </a:graphicData>
                              </a:graphic>
                            </wp:anchor>
                          </w:drawing>
                        </w:r>
                      </w:p>
                    </w:tc>
                  </w:tr>
                </w:tbl>
                <w:p w:rsidR="008B4061" w:rsidRPr="008B4061" w:rsidRDefault="008B4061" w:rsidP="008B4061">
                  <w:pPr>
                    <w:spacing w:after="0" w:line="240" w:lineRule="auto"/>
                    <w:rPr>
                      <w:rFonts w:ascii="Times New Roman" w:eastAsia="Times New Roman" w:hAnsi="Times New Roman" w:cs="Times New Roman"/>
                      <w:sz w:val="24"/>
                      <w:szCs w:val="24"/>
                    </w:rPr>
                  </w:pPr>
                </w:p>
              </w:tc>
            </w:tr>
          </w:tbl>
          <w:p w:rsidR="008B4061" w:rsidRPr="008B4061" w:rsidRDefault="008B4061" w:rsidP="008B4061">
            <w:pPr>
              <w:spacing w:after="0" w:line="240" w:lineRule="auto"/>
              <w:jc w:val="center"/>
              <w:rPr>
                <w:rFonts w:ascii="Times New Roman" w:eastAsia="Times New Roman" w:hAnsi="Times New Roman" w:cs="Times New Roman"/>
                <w:color w:val="000000"/>
                <w:sz w:val="27"/>
                <w:szCs w:val="27"/>
              </w:rPr>
            </w:pPr>
          </w:p>
        </w:tc>
      </w:tr>
      <w:tr w:rsidR="008B4061" w:rsidRPr="008B4061" w:rsidTr="00DD1935">
        <w:tc>
          <w:tcPr>
            <w:tcW w:w="0" w:type="auto"/>
            <w:shd w:val="clear" w:color="auto" w:fill="F2F2F2"/>
            <w:hideMark/>
          </w:tcPr>
          <w:tbl>
            <w:tblPr>
              <w:tblW w:w="9000" w:type="dxa"/>
              <w:jc w:val="center"/>
              <w:shd w:val="clear" w:color="auto" w:fill="FFFFFF"/>
              <w:tblCellMar>
                <w:left w:w="0" w:type="dxa"/>
                <w:right w:w="0" w:type="dxa"/>
              </w:tblCellMar>
              <w:tblLook w:val="04A0"/>
            </w:tblPr>
            <w:tblGrid>
              <w:gridCol w:w="9000"/>
            </w:tblGrid>
            <w:tr w:rsidR="008B4061" w:rsidRPr="008B4061">
              <w:trPr>
                <w:jc w:val="center"/>
              </w:trPr>
              <w:tc>
                <w:tcPr>
                  <w:tcW w:w="0" w:type="auto"/>
                  <w:shd w:val="clear" w:color="auto" w:fill="FFFFFF"/>
                  <w:hideMark/>
                </w:tcPr>
                <w:p w:rsidR="008B4061" w:rsidRPr="008B4061" w:rsidRDefault="008B4061" w:rsidP="008B4061">
                  <w:pPr>
                    <w:spacing w:after="0" w:line="240" w:lineRule="auto"/>
                    <w:rPr>
                      <w:rFonts w:ascii="Times New Roman" w:eastAsia="Times New Roman" w:hAnsi="Times New Roman" w:cs="Times New Roman"/>
                      <w:sz w:val="24"/>
                      <w:szCs w:val="24"/>
                    </w:rPr>
                  </w:pPr>
                </w:p>
              </w:tc>
            </w:tr>
          </w:tbl>
          <w:p w:rsidR="008B4061" w:rsidRPr="008B4061" w:rsidRDefault="008B4061" w:rsidP="008B4061">
            <w:pPr>
              <w:spacing w:after="0" w:line="240" w:lineRule="auto"/>
              <w:jc w:val="center"/>
              <w:rPr>
                <w:rFonts w:ascii="Times New Roman" w:eastAsia="Times New Roman" w:hAnsi="Times New Roman" w:cs="Times New Roman"/>
                <w:color w:val="000000"/>
                <w:sz w:val="27"/>
                <w:szCs w:val="27"/>
              </w:rPr>
            </w:pPr>
          </w:p>
        </w:tc>
      </w:tr>
      <w:tr w:rsidR="008B4061" w:rsidRPr="008B4061" w:rsidTr="00DD1935">
        <w:tc>
          <w:tcPr>
            <w:tcW w:w="0" w:type="auto"/>
            <w:shd w:val="clear" w:color="auto" w:fill="F2F2F2"/>
            <w:hideMark/>
          </w:tcPr>
          <w:tbl>
            <w:tblPr>
              <w:tblW w:w="9000" w:type="dxa"/>
              <w:jc w:val="center"/>
              <w:shd w:val="clear" w:color="auto" w:fill="FFFFFF"/>
              <w:tblCellMar>
                <w:left w:w="0" w:type="dxa"/>
                <w:right w:w="0" w:type="dxa"/>
              </w:tblCellMar>
              <w:tblLook w:val="04A0"/>
            </w:tblPr>
            <w:tblGrid>
              <w:gridCol w:w="9990"/>
            </w:tblGrid>
            <w:tr w:rsidR="008B4061" w:rsidRPr="008B4061">
              <w:trPr>
                <w:jc w:val="center"/>
              </w:trPr>
              <w:tc>
                <w:tcPr>
                  <w:tcW w:w="0" w:type="auto"/>
                  <w:shd w:val="clear" w:color="auto" w:fill="FFFFFF"/>
                  <w:hideMark/>
                </w:tcPr>
                <w:tbl>
                  <w:tblPr>
                    <w:tblW w:w="5000" w:type="pct"/>
                    <w:tblCellMar>
                      <w:left w:w="0" w:type="dxa"/>
                      <w:right w:w="0" w:type="dxa"/>
                    </w:tblCellMar>
                    <w:tblLook w:val="04A0"/>
                  </w:tblPr>
                  <w:tblGrid>
                    <w:gridCol w:w="9990"/>
                  </w:tblGrid>
                  <w:tr w:rsidR="008B4061" w:rsidRPr="008B4061">
                    <w:tc>
                      <w:tcPr>
                        <w:tcW w:w="0" w:type="auto"/>
                        <w:hideMark/>
                      </w:tcPr>
                      <w:p w:rsidR="0016530E" w:rsidRDefault="0016530E"/>
                      <w:tbl>
                        <w:tblPr>
                          <w:tblpPr w:leftFromText="45" w:rightFromText="45" w:vertAnchor="text"/>
                          <w:tblW w:w="5000" w:type="pct"/>
                          <w:tblCellMar>
                            <w:left w:w="0" w:type="dxa"/>
                            <w:right w:w="0" w:type="dxa"/>
                          </w:tblCellMar>
                          <w:tblLook w:val="04A0"/>
                        </w:tblPr>
                        <w:tblGrid>
                          <w:gridCol w:w="9990"/>
                        </w:tblGrid>
                        <w:tr w:rsidR="008B4061" w:rsidRPr="008B4061" w:rsidTr="0016530E">
                          <w:tc>
                            <w:tcPr>
                              <w:tcW w:w="5000" w:type="pct"/>
                              <w:tcMar>
                                <w:top w:w="151" w:type="dxa"/>
                                <w:left w:w="301" w:type="dxa"/>
                                <w:bottom w:w="151" w:type="dxa"/>
                                <w:right w:w="301" w:type="dxa"/>
                              </w:tcMar>
                              <w:hideMark/>
                            </w:tcPr>
                            <w:p w:rsidR="008B4061" w:rsidRPr="00A6430B" w:rsidRDefault="008B4061" w:rsidP="00DD1935">
                              <w:pPr>
                                <w:spacing w:before="240" w:after="240" w:line="240" w:lineRule="auto"/>
                                <w:rPr>
                                  <w:rFonts w:ascii="Helvetica" w:eastAsia="Times New Roman" w:hAnsi="Helvetica" w:cs="Helvetica"/>
                                  <w:sz w:val="25"/>
                                  <w:szCs w:val="25"/>
                                </w:rPr>
                              </w:pPr>
                              <w:r w:rsidRPr="00A6430B">
                                <w:rPr>
                                  <w:rFonts w:ascii="Verdana" w:eastAsia="Times New Roman" w:hAnsi="Verdana" w:cs="Helvetica"/>
                                  <w:sz w:val="20"/>
                                  <w:szCs w:val="20"/>
                                </w:rPr>
                                <w:t>11 March 2016</w:t>
                              </w:r>
                              <w:r w:rsidRPr="00A6430B">
                                <w:rPr>
                                  <w:rFonts w:ascii="Verdana" w:eastAsia="Times New Roman" w:hAnsi="Verdana" w:cs="Helvetica"/>
                                  <w:sz w:val="20"/>
                                  <w:szCs w:val="20"/>
                                </w:rPr>
                                <w:br/>
                              </w:r>
                              <w:r w:rsidRPr="00A6430B">
                                <w:rPr>
                                  <w:rFonts w:ascii="Verdana" w:eastAsia="Times New Roman" w:hAnsi="Verdana" w:cs="Helvetica"/>
                                  <w:sz w:val="20"/>
                                  <w:szCs w:val="20"/>
                                </w:rPr>
                                <w:br/>
                                <w:t>Our Ref: EM/2016/22</w:t>
                              </w:r>
                              <w:r w:rsidRPr="00A6430B">
                                <w:rPr>
                                  <w:rFonts w:ascii="Verdana" w:eastAsia="Times New Roman" w:hAnsi="Verdana" w:cs="Helvetica"/>
                                  <w:sz w:val="20"/>
                                  <w:szCs w:val="20"/>
                                </w:rPr>
                                <w:br/>
                              </w:r>
                              <w:r w:rsidRPr="00A6430B">
                                <w:rPr>
                                  <w:rFonts w:ascii="Verdana" w:eastAsia="Times New Roman" w:hAnsi="Verdana" w:cs="Helvetica"/>
                                  <w:sz w:val="20"/>
                                  <w:szCs w:val="20"/>
                                </w:rPr>
                                <w:br/>
                                <w:t>Dear IPBES Member States and Observers,</w:t>
                              </w:r>
                              <w:r w:rsidRPr="00A6430B">
                                <w:rPr>
                                  <w:rFonts w:ascii="Verdana" w:eastAsia="Times New Roman" w:hAnsi="Verdana" w:cs="Helvetica"/>
                                  <w:sz w:val="20"/>
                                  <w:szCs w:val="20"/>
                                </w:rPr>
                                <w:br/>
                              </w:r>
                              <w:r w:rsidRPr="00A6430B">
                                <w:rPr>
                                  <w:rFonts w:ascii="Verdana" w:eastAsia="Times New Roman" w:hAnsi="Verdana" w:cs="Helvetica"/>
                                  <w:sz w:val="20"/>
                                  <w:szCs w:val="20"/>
                                </w:rPr>
                                <w:br/>
                                <w:t xml:space="preserve">Following the outcome of the fourth session of the Plenary (Decision IPBES-4/1, section III, </w:t>
                              </w:r>
                              <w:proofErr w:type="spellStart"/>
                              <w:r w:rsidRPr="00A6430B">
                                <w:rPr>
                                  <w:rFonts w:ascii="Verdana" w:eastAsia="Times New Roman" w:hAnsi="Verdana" w:cs="Helvetica"/>
                                  <w:sz w:val="20"/>
                                  <w:szCs w:val="20"/>
                                </w:rPr>
                                <w:t>para</w:t>
                              </w:r>
                              <w:proofErr w:type="spellEnd"/>
                              <w:r w:rsidRPr="00A6430B">
                                <w:rPr>
                                  <w:rFonts w:ascii="Verdana" w:eastAsia="Times New Roman" w:hAnsi="Verdana" w:cs="Helvetica"/>
                                  <w:sz w:val="20"/>
                                  <w:szCs w:val="20"/>
                                </w:rPr>
                                <w:t>. 3, and section IV, para.5) and in line with the agreed procedures for the preparation of the Platform’s deliverables, Governments and other relevant stakeholders are invited to nominate experts to participate in:</w:t>
                              </w:r>
                            </w:p>
                            <w:p w:rsidR="008B4061" w:rsidRPr="00A6430B" w:rsidRDefault="008B4061" w:rsidP="00AF2437">
                              <w:pPr>
                                <w:numPr>
                                  <w:ilvl w:val="0"/>
                                  <w:numId w:val="1"/>
                                </w:numPr>
                                <w:spacing w:before="100" w:beforeAutospacing="1" w:after="100" w:afterAutospacing="1" w:line="240" w:lineRule="auto"/>
                                <w:rPr>
                                  <w:rFonts w:ascii="Helvetica" w:eastAsia="Times New Roman" w:hAnsi="Helvetica" w:cs="Helvetica"/>
                                  <w:sz w:val="25"/>
                                  <w:szCs w:val="25"/>
                                </w:rPr>
                              </w:pPr>
                              <w:r w:rsidRPr="00A6430B">
                                <w:rPr>
                                  <w:rFonts w:ascii="Verdana" w:eastAsia="Times New Roman" w:hAnsi="Verdana" w:cs="Helvetica"/>
                                  <w:sz w:val="20"/>
                                  <w:szCs w:val="20"/>
                                </w:rPr>
                                <w:t>the</w:t>
                              </w:r>
                              <w:r w:rsidRPr="00A6430B">
                                <w:rPr>
                                  <w:rFonts w:ascii="Verdana" w:eastAsia="Times New Roman" w:hAnsi="Verdana" w:cs="Helvetica"/>
                                  <w:sz w:val="20"/>
                                </w:rPr>
                                <w:t> </w:t>
                              </w:r>
                              <w:r w:rsidRPr="00A6430B">
                                <w:rPr>
                                  <w:rFonts w:ascii="Verdana" w:eastAsia="Times New Roman" w:hAnsi="Verdana" w:cs="Helvetica"/>
                                  <w:b/>
                                  <w:bCs/>
                                  <w:sz w:val="20"/>
                                </w:rPr>
                                <w:t>Global Assessment on Biodiversity and Ecosystem Services</w:t>
                              </w:r>
                              <w:r w:rsidRPr="00A6430B">
                                <w:rPr>
                                  <w:rFonts w:ascii="Verdana" w:eastAsia="Times New Roman" w:hAnsi="Verdana" w:cs="Helvetica"/>
                                  <w:sz w:val="20"/>
                                </w:rPr>
                                <w:t> </w:t>
                              </w:r>
                              <w:r w:rsidRPr="00A6430B">
                                <w:rPr>
                                  <w:rFonts w:ascii="Verdana" w:eastAsia="Times New Roman" w:hAnsi="Verdana" w:cs="Helvetica"/>
                                  <w:sz w:val="20"/>
                                  <w:szCs w:val="20"/>
                                </w:rPr>
                                <w:t>(Deliverable 2c);</w:t>
                              </w:r>
                            </w:p>
                            <w:p w:rsidR="008B4061" w:rsidRPr="00A6430B" w:rsidRDefault="008B4061" w:rsidP="00AF2437">
                              <w:pPr>
                                <w:numPr>
                                  <w:ilvl w:val="0"/>
                                  <w:numId w:val="2"/>
                                </w:numPr>
                                <w:spacing w:before="100" w:beforeAutospacing="1" w:after="100" w:afterAutospacing="1" w:line="240" w:lineRule="auto"/>
                                <w:rPr>
                                  <w:rFonts w:ascii="Helvetica" w:eastAsia="Times New Roman" w:hAnsi="Helvetica" w:cs="Helvetica"/>
                                  <w:sz w:val="25"/>
                                  <w:szCs w:val="25"/>
                                </w:rPr>
                              </w:pPr>
                              <w:proofErr w:type="gramStart"/>
                              <w:r w:rsidRPr="00A6430B">
                                <w:rPr>
                                  <w:rFonts w:ascii="Verdana" w:eastAsia="Times New Roman" w:hAnsi="Verdana" w:cs="Helvetica"/>
                                  <w:sz w:val="20"/>
                                  <w:szCs w:val="20"/>
                                </w:rPr>
                                <w:t>the</w:t>
                              </w:r>
                              <w:proofErr w:type="gramEnd"/>
                              <w:r w:rsidRPr="00A6430B">
                                <w:rPr>
                                  <w:rFonts w:ascii="Verdana" w:eastAsia="Times New Roman" w:hAnsi="Verdana" w:cs="Helvetica"/>
                                  <w:sz w:val="20"/>
                                  <w:szCs w:val="20"/>
                                </w:rPr>
                                <w:t xml:space="preserve"> workshop to further scope the thematic assessment of the</w:t>
                              </w:r>
                              <w:r w:rsidRPr="00A6430B">
                                <w:rPr>
                                  <w:rFonts w:ascii="Verdana" w:eastAsia="Times New Roman" w:hAnsi="Verdana" w:cs="Helvetica"/>
                                  <w:sz w:val="20"/>
                                </w:rPr>
                                <w:t> </w:t>
                              </w:r>
                              <w:r w:rsidRPr="00A6430B">
                                <w:rPr>
                                  <w:rFonts w:ascii="Verdana" w:eastAsia="Times New Roman" w:hAnsi="Verdana" w:cs="Helvetica"/>
                                  <w:b/>
                                  <w:bCs/>
                                  <w:sz w:val="20"/>
                                </w:rPr>
                                <w:t>Sustainable Use of Biodiversity </w:t>
                              </w:r>
                              <w:r w:rsidRPr="00A6430B">
                                <w:rPr>
                                  <w:rFonts w:ascii="Verdana" w:eastAsia="Times New Roman" w:hAnsi="Verdana" w:cs="Helvetica"/>
                                  <w:sz w:val="20"/>
                                  <w:szCs w:val="20"/>
                                </w:rPr>
                                <w:t>(Deliverable 3biii).</w:t>
                              </w:r>
                            </w:p>
                            <w:p w:rsidR="008B4061" w:rsidRPr="00A6430B" w:rsidRDefault="008B4061" w:rsidP="00AF2437">
                              <w:pPr>
                                <w:spacing w:after="0" w:line="240" w:lineRule="auto"/>
                                <w:rPr>
                                  <w:rFonts w:ascii="Helvetica" w:eastAsia="Times New Roman" w:hAnsi="Helvetica" w:cs="Helvetica"/>
                                  <w:sz w:val="25"/>
                                  <w:szCs w:val="25"/>
                                </w:rPr>
                              </w:pPr>
                              <w:r w:rsidRPr="00A6430B">
                                <w:rPr>
                                  <w:rFonts w:ascii="Verdana" w:eastAsia="Times New Roman" w:hAnsi="Verdana" w:cs="Helvetica"/>
                                  <w:sz w:val="20"/>
                                  <w:szCs w:val="20"/>
                                </w:rPr>
                                <w:t>In addition, following decision IPBES-4/1, section I, para.1, Governments and relevant institutions and organizations are invited to nominate fellows to:</w:t>
                              </w:r>
                            </w:p>
                            <w:p w:rsidR="008B4061" w:rsidRPr="00A6430B" w:rsidRDefault="008B4061" w:rsidP="00AF2437">
                              <w:pPr>
                                <w:numPr>
                                  <w:ilvl w:val="0"/>
                                  <w:numId w:val="3"/>
                                </w:numPr>
                                <w:spacing w:before="100" w:beforeAutospacing="1" w:after="100" w:afterAutospacing="1" w:line="240" w:lineRule="auto"/>
                                <w:rPr>
                                  <w:rFonts w:ascii="Helvetica" w:eastAsia="Times New Roman" w:hAnsi="Helvetica" w:cs="Helvetica"/>
                                  <w:sz w:val="25"/>
                                  <w:szCs w:val="25"/>
                                </w:rPr>
                              </w:pPr>
                              <w:proofErr w:type="gramStart"/>
                              <w:r w:rsidRPr="00A6430B">
                                <w:rPr>
                                  <w:rFonts w:ascii="Verdana" w:eastAsia="Times New Roman" w:hAnsi="Verdana" w:cs="Helvetica"/>
                                  <w:sz w:val="20"/>
                                  <w:szCs w:val="20"/>
                                </w:rPr>
                                <w:t>the</w:t>
                              </w:r>
                              <w:proofErr w:type="gramEnd"/>
                              <w:r w:rsidRPr="00A6430B">
                                <w:rPr>
                                  <w:rFonts w:ascii="Verdana" w:eastAsia="Times New Roman" w:hAnsi="Verdana" w:cs="Helvetica"/>
                                  <w:sz w:val="20"/>
                                </w:rPr>
                                <w:t> </w:t>
                              </w:r>
                              <w:r w:rsidRPr="00A6430B">
                                <w:rPr>
                                  <w:rFonts w:ascii="Verdana" w:eastAsia="Times New Roman" w:hAnsi="Verdana" w:cs="Helvetica"/>
                                  <w:b/>
                                  <w:bCs/>
                                  <w:sz w:val="20"/>
                                </w:rPr>
                                <w:t>IPBES Fellowship Pilot Programme, </w:t>
                              </w:r>
                              <w:r w:rsidRPr="00A6430B">
                                <w:rPr>
                                  <w:rFonts w:ascii="Verdana" w:eastAsia="Times New Roman" w:hAnsi="Verdana" w:cs="Helvetica"/>
                                  <w:sz w:val="20"/>
                                  <w:szCs w:val="20"/>
                                </w:rPr>
                                <w:t>to participate in the Global Assessment on Biodiversity and Ecosystem Services.</w:t>
                              </w:r>
                            </w:p>
                            <w:p w:rsidR="008B4061" w:rsidRPr="00A6430B" w:rsidRDefault="008B4061" w:rsidP="00AF2437">
                              <w:pPr>
                                <w:spacing w:after="0" w:line="240" w:lineRule="auto"/>
                                <w:rPr>
                                  <w:rFonts w:ascii="Helvetica" w:eastAsia="Times New Roman" w:hAnsi="Helvetica" w:cs="Helvetica"/>
                                  <w:sz w:val="25"/>
                                  <w:szCs w:val="25"/>
                                </w:rPr>
                              </w:pPr>
                              <w:r w:rsidRPr="00A6430B">
                                <w:rPr>
                                  <w:rFonts w:ascii="Verdana" w:eastAsia="Times New Roman" w:hAnsi="Verdana" w:cs="Helvetica"/>
                                  <w:sz w:val="20"/>
                                  <w:szCs w:val="20"/>
                                </w:rPr>
                                <w:t>The IPBES Fellowship Pilot Programme targets early career experts who wish to gain experience by participating in the work of IPBES. More information on the IPBES Fellowship Pilot Programme and nomination process can be found</w:t>
                              </w:r>
                              <w:r w:rsidR="00161051">
                                <w:rPr>
                                  <w:rFonts w:ascii="Verdana" w:eastAsia="Times New Roman" w:hAnsi="Verdana" w:cs="Helvetica"/>
                                  <w:color w:val="606060"/>
                                  <w:sz w:val="20"/>
                                  <w:szCs w:val="20"/>
                                </w:rPr>
                                <w:t xml:space="preserve"> (</w:t>
                              </w:r>
                              <w:hyperlink r:id="rId6" w:history="1">
                                <w:r w:rsidR="00161051" w:rsidRPr="00F15241">
                                  <w:rPr>
                                    <w:rStyle w:val="Hyperlink"/>
                                    <w:rFonts w:ascii="Verdana" w:eastAsia="Times New Roman" w:hAnsi="Verdana" w:cs="Helvetica"/>
                                    <w:sz w:val="20"/>
                                    <w:szCs w:val="20"/>
                                  </w:rPr>
                                  <w:t>https://gallery.mailchimp.com/5da0fed71c7e4399fb28ab549/files/Additional_guidance_fellowship_programme.pdf</w:t>
                                </w:r>
                              </w:hyperlink>
                              <w:r w:rsidR="00161051">
                                <w:rPr>
                                  <w:rFonts w:ascii="Verdana" w:eastAsia="Times New Roman" w:hAnsi="Verdana" w:cs="Helvetica"/>
                                  <w:color w:val="606060"/>
                                  <w:sz w:val="20"/>
                                  <w:szCs w:val="20"/>
                                </w:rPr>
                                <w:t>)</w:t>
                              </w:r>
                              <w:r w:rsidRPr="008B4061">
                                <w:rPr>
                                  <w:rFonts w:ascii="Verdana" w:eastAsia="Times New Roman" w:hAnsi="Verdana" w:cs="Helvetica"/>
                                  <w:color w:val="606060"/>
                                  <w:sz w:val="20"/>
                                  <w:szCs w:val="20"/>
                                </w:rPr>
                                <w:t>.</w:t>
                              </w:r>
                              <w:r w:rsidRPr="008B4061">
                                <w:rPr>
                                  <w:rFonts w:ascii="Verdana" w:eastAsia="Times New Roman" w:hAnsi="Verdana" w:cs="Helvetica"/>
                                  <w:color w:val="606060"/>
                                  <w:sz w:val="20"/>
                                  <w:szCs w:val="20"/>
                                </w:rPr>
                                <w:br/>
                                <w:t> </w:t>
                              </w:r>
                              <w:r w:rsidRPr="008B4061">
                                <w:rPr>
                                  <w:rFonts w:ascii="Verdana" w:eastAsia="Times New Roman" w:hAnsi="Verdana" w:cs="Helvetica"/>
                                  <w:color w:val="606060"/>
                                  <w:sz w:val="20"/>
                                  <w:szCs w:val="20"/>
                                </w:rPr>
                                <w:br/>
                              </w:r>
                              <w:r w:rsidRPr="00A6430B">
                                <w:rPr>
                                  <w:rFonts w:ascii="Verdana" w:eastAsia="Times New Roman" w:hAnsi="Verdana" w:cs="Helvetica"/>
                                  <w:sz w:val="20"/>
                                  <w:szCs w:val="20"/>
                                </w:rPr>
                                <w:t xml:space="preserve">Member States and Observers are invited to disseminate this call for nominations widely to relevant institutions and </w:t>
                              </w:r>
                              <w:proofErr w:type="spellStart"/>
                              <w:r w:rsidRPr="00A6430B">
                                <w:rPr>
                                  <w:rFonts w:ascii="Verdana" w:eastAsia="Times New Roman" w:hAnsi="Verdana" w:cs="Helvetica"/>
                                  <w:sz w:val="20"/>
                                  <w:szCs w:val="20"/>
                                </w:rPr>
                                <w:t>organisations</w:t>
                              </w:r>
                              <w:proofErr w:type="spellEnd"/>
                              <w:r w:rsidRPr="00A6430B">
                                <w:rPr>
                                  <w:rFonts w:ascii="Verdana" w:eastAsia="Times New Roman" w:hAnsi="Verdana" w:cs="Helvetica"/>
                                  <w:sz w:val="20"/>
                                  <w:szCs w:val="20"/>
                                </w:rPr>
                                <w:t>. Nominations from a broad range of organizations/institutions are encouraged. Self-nominations will not be accepted. Nominators are expected to give their consent to the time commitment required from the candidate, as appropriate.</w:t>
                              </w:r>
                              <w:r w:rsidRPr="00A6430B">
                                <w:rPr>
                                  <w:rFonts w:ascii="Verdana" w:eastAsia="Times New Roman" w:hAnsi="Verdana" w:cs="Helvetica"/>
                                  <w:sz w:val="20"/>
                                  <w:szCs w:val="20"/>
                                </w:rPr>
                                <w:br/>
                                <w:t> </w:t>
                              </w:r>
                              <w:r w:rsidRPr="00A6430B">
                                <w:rPr>
                                  <w:rFonts w:ascii="Verdana" w:eastAsia="Times New Roman" w:hAnsi="Verdana" w:cs="Helvetica"/>
                                  <w:sz w:val="20"/>
                                  <w:szCs w:val="20"/>
                                </w:rPr>
                                <w:br/>
                              </w:r>
                              <w:r w:rsidRPr="00A6430B">
                                <w:rPr>
                                  <w:rFonts w:ascii="Verdana" w:eastAsia="Times New Roman" w:hAnsi="Verdana" w:cs="Helvetica"/>
                                  <w:b/>
                                  <w:bCs/>
                                  <w:sz w:val="20"/>
                                </w:rPr>
                                <w:t>All nominated individuals (nominees) need to be available to attend the meeting to which they are applying to be experts.</w:t>
                              </w:r>
                              <w:r w:rsidRPr="00A6430B">
                                <w:rPr>
                                  <w:rFonts w:ascii="Verdana" w:eastAsia="Times New Roman" w:hAnsi="Verdana" w:cs="Helvetica"/>
                                  <w:sz w:val="20"/>
                                  <w:szCs w:val="20"/>
                                </w:rPr>
                                <w:br/>
                              </w:r>
                              <w:r w:rsidRPr="00A6430B">
                                <w:rPr>
                                  <w:rFonts w:ascii="Verdana" w:eastAsia="Times New Roman" w:hAnsi="Verdana" w:cs="Helvetica"/>
                                  <w:b/>
                                  <w:bCs/>
                                  <w:sz w:val="20"/>
                                  <w:u w:val="single"/>
                                </w:rPr>
                                <w:t>Meeting dates:</w:t>
                              </w:r>
                            </w:p>
                            <w:p w:rsidR="008B4061" w:rsidRPr="00A6430B" w:rsidRDefault="008B4061" w:rsidP="00AF2437">
                              <w:pPr>
                                <w:numPr>
                                  <w:ilvl w:val="0"/>
                                  <w:numId w:val="4"/>
                                </w:numPr>
                                <w:spacing w:before="100" w:beforeAutospacing="1" w:after="100" w:afterAutospacing="1" w:line="240" w:lineRule="auto"/>
                                <w:rPr>
                                  <w:rFonts w:ascii="Helvetica" w:eastAsia="Times New Roman" w:hAnsi="Helvetica" w:cs="Helvetica"/>
                                  <w:sz w:val="25"/>
                                  <w:szCs w:val="25"/>
                                </w:rPr>
                              </w:pPr>
                              <w:r w:rsidRPr="00A6430B">
                                <w:rPr>
                                  <w:rFonts w:ascii="Verdana" w:eastAsia="Times New Roman" w:hAnsi="Verdana" w:cs="Helvetica"/>
                                  <w:sz w:val="20"/>
                                  <w:szCs w:val="20"/>
                                </w:rPr>
                                <w:t>The First Author Meeting for the</w:t>
                              </w:r>
                              <w:r w:rsidRPr="00A6430B">
                                <w:rPr>
                                  <w:rFonts w:ascii="Verdana" w:eastAsia="Times New Roman" w:hAnsi="Verdana" w:cs="Helvetica"/>
                                  <w:sz w:val="20"/>
                                </w:rPr>
                                <w:t> </w:t>
                              </w:r>
                              <w:r w:rsidRPr="00A6430B">
                                <w:rPr>
                                  <w:rFonts w:ascii="Verdana" w:eastAsia="Times New Roman" w:hAnsi="Verdana" w:cs="Helvetica"/>
                                  <w:b/>
                                  <w:bCs/>
                                  <w:sz w:val="20"/>
                                </w:rPr>
                                <w:t>Global Assessment on Biodiversity and Ecosystem Services</w:t>
                              </w:r>
                              <w:r w:rsidRPr="00A6430B">
                                <w:rPr>
                                  <w:rFonts w:ascii="Verdana" w:eastAsia="Times New Roman" w:hAnsi="Verdana" w:cs="Helvetica"/>
                                  <w:sz w:val="20"/>
                                </w:rPr>
                                <w:t> </w:t>
                              </w:r>
                              <w:r w:rsidRPr="00A6430B">
                                <w:rPr>
                                  <w:rFonts w:ascii="Verdana" w:eastAsia="Times New Roman" w:hAnsi="Verdana" w:cs="Helvetica"/>
                                  <w:sz w:val="20"/>
                                  <w:szCs w:val="20"/>
                                </w:rPr>
                                <w:t>will be held in August 15-19, 2016 in Bonn, Germany</w:t>
                              </w:r>
                              <w:r w:rsidRPr="00A6430B">
                                <w:rPr>
                                  <w:rFonts w:ascii="Verdana" w:eastAsia="Times New Roman" w:hAnsi="Verdana" w:cs="Helvetica"/>
                                  <w:sz w:val="20"/>
                                </w:rPr>
                                <w:t> </w:t>
                              </w:r>
                              <w:r w:rsidRPr="00A6430B">
                                <w:rPr>
                                  <w:rFonts w:ascii="Verdana" w:eastAsia="Times New Roman" w:hAnsi="Verdana" w:cs="Helvetica"/>
                                  <w:b/>
                                  <w:bCs/>
                                  <w:sz w:val="20"/>
                                </w:rPr>
                                <w:t>(Experts and Fellows);</w:t>
                              </w:r>
                            </w:p>
                            <w:p w:rsidR="008B4061" w:rsidRPr="0016530E" w:rsidRDefault="008B4061" w:rsidP="00AF2437">
                              <w:pPr>
                                <w:numPr>
                                  <w:ilvl w:val="0"/>
                                  <w:numId w:val="4"/>
                                </w:numPr>
                                <w:spacing w:before="100" w:beforeAutospacing="1" w:after="100" w:afterAutospacing="1" w:line="240" w:lineRule="auto"/>
                                <w:rPr>
                                  <w:rFonts w:ascii="Helvetica" w:eastAsia="Times New Roman" w:hAnsi="Helvetica" w:cs="Helvetica"/>
                                  <w:sz w:val="25"/>
                                  <w:szCs w:val="25"/>
                                </w:rPr>
                              </w:pPr>
                              <w:r w:rsidRPr="00A6430B">
                                <w:rPr>
                                  <w:rFonts w:ascii="Verdana" w:eastAsia="Times New Roman" w:hAnsi="Verdana" w:cs="Helvetica"/>
                                  <w:sz w:val="20"/>
                                  <w:szCs w:val="20"/>
                                </w:rPr>
                                <w:t>The scoping meeting for the thematic assessment of</w:t>
                              </w:r>
                              <w:r w:rsidRPr="00A6430B">
                                <w:rPr>
                                  <w:rFonts w:ascii="Verdana" w:eastAsia="Times New Roman" w:hAnsi="Verdana" w:cs="Helvetica"/>
                                  <w:sz w:val="20"/>
                                </w:rPr>
                                <w:t> </w:t>
                              </w:r>
                              <w:r w:rsidRPr="00A6430B">
                                <w:rPr>
                                  <w:rFonts w:ascii="Verdana" w:eastAsia="Times New Roman" w:hAnsi="Verdana" w:cs="Helvetica"/>
                                  <w:b/>
                                  <w:bCs/>
                                  <w:sz w:val="20"/>
                                </w:rPr>
                                <w:t>Sustainable Use of Biodiversity </w:t>
                              </w:r>
                              <w:r w:rsidRPr="00A6430B">
                                <w:rPr>
                                  <w:rFonts w:ascii="Verdana" w:eastAsia="Times New Roman" w:hAnsi="Verdana" w:cs="Helvetica"/>
                                  <w:sz w:val="20"/>
                                  <w:szCs w:val="20"/>
                                </w:rPr>
                                <w:t>will be held August 2-4, 2016, Bonn, Germany</w:t>
                              </w:r>
                              <w:r w:rsidRPr="00A6430B">
                                <w:rPr>
                                  <w:rFonts w:ascii="Verdana" w:eastAsia="Times New Roman" w:hAnsi="Verdana" w:cs="Helvetica"/>
                                  <w:sz w:val="20"/>
                                </w:rPr>
                                <w:t> </w:t>
                              </w:r>
                              <w:r w:rsidRPr="00A6430B">
                                <w:rPr>
                                  <w:rFonts w:ascii="Verdana" w:eastAsia="Times New Roman" w:hAnsi="Verdana" w:cs="Helvetica"/>
                                  <w:b/>
                                  <w:bCs/>
                                  <w:sz w:val="20"/>
                                </w:rPr>
                                <w:t>(Scoping Experts).</w:t>
                              </w:r>
                            </w:p>
                            <w:p w:rsidR="0016530E" w:rsidRPr="00A6430B" w:rsidRDefault="0016530E" w:rsidP="0016530E">
                              <w:pPr>
                                <w:spacing w:before="100" w:beforeAutospacing="1" w:after="100" w:afterAutospacing="1" w:line="240" w:lineRule="auto"/>
                                <w:ind w:left="720"/>
                                <w:rPr>
                                  <w:rFonts w:ascii="Helvetica" w:eastAsia="Times New Roman" w:hAnsi="Helvetica" w:cs="Helvetica"/>
                                  <w:sz w:val="25"/>
                                  <w:szCs w:val="25"/>
                                </w:rPr>
                              </w:pPr>
                            </w:p>
                            <w:p w:rsidR="008B4061" w:rsidRPr="00A6430B" w:rsidRDefault="008B4061" w:rsidP="00AF2437">
                              <w:pPr>
                                <w:spacing w:after="0" w:line="240" w:lineRule="auto"/>
                                <w:rPr>
                                  <w:rFonts w:ascii="Helvetica" w:eastAsia="Times New Roman" w:hAnsi="Helvetica" w:cs="Helvetica"/>
                                  <w:sz w:val="25"/>
                                  <w:szCs w:val="25"/>
                                </w:rPr>
                              </w:pPr>
                              <w:r w:rsidRPr="00A6430B">
                                <w:rPr>
                                  <w:rFonts w:ascii="Verdana" w:eastAsia="Times New Roman" w:hAnsi="Verdana" w:cs="Helvetica"/>
                                  <w:b/>
                                  <w:bCs/>
                                  <w:sz w:val="20"/>
                                </w:rPr>
                                <w:t xml:space="preserve">Importantly, nominated experts should have expertise in one or more disciplines within natural science, social science or humanities, represent or have expertise in indigenous and local knowledge systems, or </w:t>
                              </w:r>
                              <w:proofErr w:type="gramStart"/>
                              <w:r w:rsidRPr="00A6430B">
                                <w:rPr>
                                  <w:rFonts w:ascii="Verdana" w:eastAsia="Times New Roman" w:hAnsi="Verdana" w:cs="Helvetica"/>
                                  <w:b/>
                                  <w:bCs/>
                                  <w:sz w:val="20"/>
                                </w:rPr>
                                <w:t>be</w:t>
                              </w:r>
                              <w:proofErr w:type="gramEnd"/>
                              <w:r w:rsidRPr="00A6430B">
                                <w:rPr>
                                  <w:rFonts w:ascii="Verdana" w:eastAsia="Times New Roman" w:hAnsi="Verdana" w:cs="Helvetica"/>
                                  <w:b/>
                                  <w:bCs/>
                                  <w:sz w:val="20"/>
                                </w:rPr>
                                <w:t xml:space="preserve"> policy experts and practitioners</w:t>
                              </w:r>
                              <w:r w:rsidRPr="00A6430B">
                                <w:rPr>
                                  <w:rFonts w:ascii="Verdana" w:eastAsia="Times New Roman" w:hAnsi="Verdana" w:cs="Helvetica"/>
                                  <w:sz w:val="20"/>
                                  <w:szCs w:val="20"/>
                                </w:rPr>
                                <w:t>. We strongly encourage nominations to reflect this broad range of expertise which is needed for both assessments.</w:t>
                              </w:r>
                              <w:r w:rsidRPr="00A6430B">
                                <w:rPr>
                                  <w:rFonts w:ascii="Verdana" w:eastAsia="Times New Roman" w:hAnsi="Verdana" w:cs="Helvetica"/>
                                  <w:sz w:val="20"/>
                                  <w:szCs w:val="20"/>
                                </w:rPr>
                                <w:br/>
                                <w:t> </w:t>
                              </w:r>
                              <w:r w:rsidRPr="00A6430B">
                                <w:rPr>
                                  <w:rFonts w:ascii="Verdana" w:eastAsia="Times New Roman" w:hAnsi="Verdana" w:cs="Helvetica"/>
                                  <w:sz w:val="20"/>
                                  <w:szCs w:val="20"/>
                                </w:rPr>
                                <w:br/>
                                <w:t xml:space="preserve">In particular, for the Global Assessment on Biodiversity and Ecosystem Services, we are seeking experts with an interdisciplinary, international and/or global background and experience. Governments and </w:t>
                              </w:r>
                              <w:proofErr w:type="spellStart"/>
                              <w:r w:rsidRPr="00A6430B">
                                <w:rPr>
                                  <w:rFonts w:ascii="Verdana" w:eastAsia="Times New Roman" w:hAnsi="Verdana" w:cs="Helvetica"/>
                                  <w:sz w:val="20"/>
                                  <w:szCs w:val="20"/>
                                </w:rPr>
                                <w:t>organisations</w:t>
                              </w:r>
                              <w:proofErr w:type="spellEnd"/>
                              <w:r w:rsidRPr="00A6430B">
                                <w:rPr>
                                  <w:rFonts w:ascii="Verdana" w:eastAsia="Times New Roman" w:hAnsi="Verdana" w:cs="Helvetica"/>
                                  <w:sz w:val="20"/>
                                  <w:szCs w:val="20"/>
                                </w:rPr>
                                <w:t xml:space="preserve"> nominating experts are therefore encouraged to promote this multidisciplinary approach, which is fundamental to the success of IPBES. For the scoping meeting for the thematic assessment of Sustainable Use of Biodiversity, we are seeking experts that have expertise in integrative approaches to human-nature relations, in ethics, trade, as well as in the relevant institutions and governance.</w:t>
                              </w:r>
                              <w:r w:rsidRPr="00A6430B">
                                <w:rPr>
                                  <w:rFonts w:ascii="Verdana" w:eastAsia="Times New Roman" w:hAnsi="Verdana" w:cs="Helvetica"/>
                                  <w:sz w:val="20"/>
                                  <w:szCs w:val="20"/>
                                </w:rPr>
                                <w:br/>
                                <w:t> </w:t>
                              </w:r>
                              <w:r w:rsidRPr="00A6430B">
                                <w:rPr>
                                  <w:rFonts w:ascii="Verdana" w:eastAsia="Times New Roman" w:hAnsi="Verdana" w:cs="Helvetica"/>
                                  <w:sz w:val="20"/>
                                  <w:szCs w:val="20"/>
                                </w:rPr>
                                <w:br/>
                                <w:t>The nomination process of experts will follow these steps:</w:t>
                              </w:r>
                            </w:p>
                            <w:p w:rsidR="008B4061" w:rsidRPr="008B4061" w:rsidRDefault="008B4061" w:rsidP="00AF2437">
                              <w:pPr>
                                <w:numPr>
                                  <w:ilvl w:val="0"/>
                                  <w:numId w:val="5"/>
                                </w:numPr>
                                <w:spacing w:before="100" w:beforeAutospacing="1" w:after="100" w:afterAutospacing="1" w:line="240" w:lineRule="auto"/>
                                <w:rPr>
                                  <w:rFonts w:ascii="Helvetica" w:eastAsia="Times New Roman" w:hAnsi="Helvetica" w:cs="Helvetica"/>
                                  <w:color w:val="606060"/>
                                  <w:sz w:val="25"/>
                                  <w:szCs w:val="25"/>
                                </w:rPr>
                              </w:pPr>
                              <w:r w:rsidRPr="00A6430B">
                                <w:rPr>
                                  <w:rFonts w:ascii="Verdana" w:eastAsia="Times New Roman" w:hAnsi="Verdana" w:cs="Helvetica"/>
                                  <w:sz w:val="20"/>
                                  <w:szCs w:val="20"/>
                                </w:rPr>
                                <w:t>Nominees will be invited to fill out an</w:t>
                              </w:r>
                              <w:r w:rsidRPr="00A6430B">
                                <w:rPr>
                                  <w:rFonts w:ascii="Verdana" w:eastAsia="Times New Roman" w:hAnsi="Verdana" w:cs="Helvetica"/>
                                  <w:sz w:val="20"/>
                                </w:rPr>
                                <w:t> </w:t>
                              </w:r>
                              <w:r w:rsidRPr="00A6430B">
                                <w:rPr>
                                  <w:rFonts w:ascii="Verdana" w:eastAsia="Times New Roman" w:hAnsi="Verdana" w:cs="Helvetica"/>
                                  <w:b/>
                                  <w:bCs/>
                                  <w:sz w:val="20"/>
                                </w:rPr>
                                <w:t>application form</w:t>
                              </w:r>
                              <w:r w:rsidRPr="00A6430B">
                                <w:rPr>
                                  <w:rFonts w:ascii="Verdana" w:eastAsia="Times New Roman" w:hAnsi="Verdana" w:cs="Helvetica"/>
                                  <w:sz w:val="20"/>
                                </w:rPr>
                                <w:t> </w:t>
                              </w:r>
                              <w:r w:rsidRPr="00A6430B">
                                <w:rPr>
                                  <w:rFonts w:ascii="Verdana" w:eastAsia="Times New Roman" w:hAnsi="Verdana" w:cs="Helvetica"/>
                                  <w:sz w:val="20"/>
                                  <w:szCs w:val="20"/>
                                </w:rPr>
                                <w:t>and attach their curricula vitae through the dedicated web portal</w:t>
                              </w:r>
                              <w:r w:rsidRPr="008B4061">
                                <w:rPr>
                                  <w:rFonts w:ascii="Verdana" w:eastAsia="Times New Roman" w:hAnsi="Verdana" w:cs="Helvetica"/>
                                  <w:color w:val="606060"/>
                                  <w:sz w:val="20"/>
                                  <w:szCs w:val="20"/>
                                </w:rPr>
                                <w:t xml:space="preserve"> (</w:t>
                              </w:r>
                              <w:hyperlink r:id="rId7" w:history="1">
                                <w:r w:rsidRPr="00AE1A37">
                                  <w:rPr>
                                    <w:rFonts w:ascii="Verdana" w:eastAsia="Times New Roman" w:hAnsi="Verdana" w:cs="Helvetica"/>
                                    <w:color w:val="0000FF"/>
                                    <w:sz w:val="20"/>
                                    <w:u w:val="single"/>
                                  </w:rPr>
                                  <w:t>http://www.ipbes.net/applicationform</w:t>
                                </w:r>
                              </w:hyperlink>
                              <w:r w:rsidRPr="008B4061">
                                <w:rPr>
                                  <w:rFonts w:ascii="Verdana" w:eastAsia="Times New Roman" w:hAnsi="Verdana" w:cs="Helvetica"/>
                                  <w:color w:val="606060"/>
                                  <w:sz w:val="20"/>
                                  <w:szCs w:val="20"/>
                                </w:rPr>
                                <w:t>)</w:t>
                              </w:r>
                            </w:p>
                            <w:p w:rsidR="008B4061" w:rsidRPr="00A6430B" w:rsidRDefault="008B4061" w:rsidP="00AF2437">
                              <w:pPr>
                                <w:numPr>
                                  <w:ilvl w:val="0"/>
                                  <w:numId w:val="5"/>
                                </w:numPr>
                                <w:spacing w:before="100" w:beforeAutospacing="1" w:after="100" w:afterAutospacing="1" w:line="240" w:lineRule="auto"/>
                                <w:rPr>
                                  <w:rFonts w:ascii="Helvetica" w:eastAsia="Times New Roman" w:hAnsi="Helvetica" w:cs="Helvetica"/>
                                  <w:sz w:val="25"/>
                                  <w:szCs w:val="25"/>
                                </w:rPr>
                              </w:pPr>
                              <w:r w:rsidRPr="00A6430B">
                                <w:rPr>
                                  <w:rFonts w:ascii="Verdana" w:eastAsia="Times New Roman" w:hAnsi="Verdana" w:cs="Helvetica"/>
                                  <w:sz w:val="20"/>
                                  <w:szCs w:val="20"/>
                                </w:rPr>
                                <w:t>The</w:t>
                              </w:r>
                              <w:r w:rsidRPr="00A6430B">
                                <w:rPr>
                                  <w:rFonts w:ascii="Verdana" w:eastAsia="Times New Roman" w:hAnsi="Verdana" w:cs="Helvetica"/>
                                  <w:sz w:val="20"/>
                                </w:rPr>
                                <w:t> </w:t>
                              </w:r>
                              <w:r w:rsidRPr="00A6430B">
                                <w:rPr>
                                  <w:rFonts w:ascii="Verdana" w:eastAsia="Times New Roman" w:hAnsi="Verdana" w:cs="Helvetica"/>
                                  <w:b/>
                                  <w:bCs/>
                                  <w:sz w:val="20"/>
                                </w:rPr>
                                <w:t>application form </w:t>
                              </w:r>
                              <w:r w:rsidRPr="00A6430B">
                                <w:rPr>
                                  <w:rFonts w:ascii="Verdana" w:eastAsia="Times New Roman" w:hAnsi="Verdana" w:cs="Helvetica"/>
                                  <w:sz w:val="20"/>
                                  <w:szCs w:val="20"/>
                                </w:rPr>
                                <w:t xml:space="preserve">will automatically be sent to the nominating Government or </w:t>
                              </w:r>
                              <w:proofErr w:type="spellStart"/>
                              <w:r w:rsidRPr="00A6430B">
                                <w:rPr>
                                  <w:rFonts w:ascii="Verdana" w:eastAsia="Times New Roman" w:hAnsi="Verdana" w:cs="Helvetica"/>
                                  <w:sz w:val="20"/>
                                  <w:szCs w:val="20"/>
                                </w:rPr>
                                <w:t>Organisation</w:t>
                              </w:r>
                              <w:proofErr w:type="spellEnd"/>
                              <w:r w:rsidRPr="00A6430B">
                                <w:rPr>
                                  <w:rFonts w:ascii="Verdana" w:eastAsia="Times New Roman" w:hAnsi="Verdana" w:cs="Helvetica"/>
                                  <w:sz w:val="20"/>
                                  <w:szCs w:val="20"/>
                                </w:rPr>
                                <w:t xml:space="preserve"> (Nominator) indicated by the Nominee with an email, which will provide a link to a</w:t>
                              </w:r>
                              <w:r w:rsidRPr="00A6430B">
                                <w:rPr>
                                  <w:rFonts w:ascii="Verdana" w:eastAsia="Times New Roman" w:hAnsi="Verdana" w:cs="Helvetica"/>
                                  <w:sz w:val="20"/>
                                </w:rPr>
                                <w:t> </w:t>
                              </w:r>
                              <w:r w:rsidRPr="00A6430B">
                                <w:rPr>
                                  <w:rFonts w:ascii="Verdana" w:eastAsia="Times New Roman" w:hAnsi="Verdana" w:cs="Helvetica"/>
                                  <w:b/>
                                  <w:bCs/>
                                  <w:sz w:val="20"/>
                                </w:rPr>
                                <w:t>nomination form</w:t>
                              </w:r>
                              <w:r w:rsidRPr="00A6430B">
                                <w:rPr>
                                  <w:rFonts w:ascii="Verdana" w:eastAsia="Times New Roman" w:hAnsi="Verdana" w:cs="Helvetica"/>
                                  <w:sz w:val="20"/>
                                </w:rPr>
                                <w:t> </w:t>
                              </w:r>
                              <w:r w:rsidRPr="00A6430B">
                                <w:rPr>
                                  <w:rFonts w:ascii="Verdana" w:eastAsia="Times New Roman" w:hAnsi="Verdana" w:cs="Helvetica"/>
                                  <w:sz w:val="20"/>
                                  <w:szCs w:val="20"/>
                                </w:rPr>
                                <w:t>inviting the Nominators to approve and submit their nominations.</w:t>
                              </w:r>
                            </w:p>
                            <w:p w:rsidR="008B4061" w:rsidRPr="00A6430B" w:rsidRDefault="008B4061" w:rsidP="00AF2437">
                              <w:pPr>
                                <w:numPr>
                                  <w:ilvl w:val="0"/>
                                  <w:numId w:val="5"/>
                                </w:numPr>
                                <w:spacing w:before="100" w:beforeAutospacing="1" w:after="100" w:afterAutospacing="1" w:line="240" w:lineRule="auto"/>
                                <w:rPr>
                                  <w:rFonts w:ascii="Helvetica" w:eastAsia="Times New Roman" w:hAnsi="Helvetica" w:cs="Helvetica"/>
                                  <w:sz w:val="25"/>
                                  <w:szCs w:val="25"/>
                                </w:rPr>
                              </w:pPr>
                              <w:r w:rsidRPr="00A6430B">
                                <w:rPr>
                                  <w:rFonts w:ascii="Verdana" w:eastAsia="Times New Roman" w:hAnsi="Verdana" w:cs="Helvetica"/>
                                  <w:sz w:val="20"/>
                                  <w:szCs w:val="20"/>
                                </w:rPr>
                                <w:t xml:space="preserve">Nominators and Nominees will  receive an acknowledgement message once </w:t>
                              </w:r>
                              <w:proofErr w:type="spellStart"/>
                              <w:r w:rsidRPr="00A6430B">
                                <w:rPr>
                                  <w:rFonts w:ascii="Verdana" w:eastAsia="Times New Roman" w:hAnsi="Verdana" w:cs="Helvetica"/>
                                  <w:sz w:val="20"/>
                                  <w:szCs w:val="20"/>
                                </w:rPr>
                                <w:t>the</w:t>
                              </w:r>
                              <w:r w:rsidRPr="00A6430B">
                                <w:rPr>
                                  <w:rFonts w:ascii="Verdana" w:eastAsia="Times New Roman" w:hAnsi="Verdana" w:cs="Helvetica"/>
                                  <w:b/>
                                  <w:bCs/>
                                  <w:sz w:val="20"/>
                                </w:rPr>
                                <w:t>nomination</w:t>
                              </w:r>
                              <w:proofErr w:type="spellEnd"/>
                              <w:r w:rsidRPr="00A6430B">
                                <w:rPr>
                                  <w:rFonts w:ascii="Verdana" w:eastAsia="Times New Roman" w:hAnsi="Verdana" w:cs="Helvetica"/>
                                  <w:b/>
                                  <w:bCs/>
                                  <w:sz w:val="20"/>
                                </w:rPr>
                                <w:t xml:space="preserve"> form</w:t>
                              </w:r>
                              <w:r w:rsidRPr="00A6430B">
                                <w:rPr>
                                  <w:rFonts w:ascii="Verdana" w:eastAsia="Times New Roman" w:hAnsi="Verdana" w:cs="Helvetica"/>
                                  <w:sz w:val="20"/>
                                </w:rPr>
                                <w:t> </w:t>
                              </w:r>
                              <w:r w:rsidRPr="00A6430B">
                                <w:rPr>
                                  <w:rFonts w:ascii="Verdana" w:eastAsia="Times New Roman" w:hAnsi="Verdana" w:cs="Helvetica"/>
                                  <w:sz w:val="20"/>
                                  <w:szCs w:val="20"/>
                                </w:rPr>
                                <w:t>confirming the nomination has been submitted</w:t>
                              </w:r>
                            </w:p>
                            <w:p w:rsidR="008B4061" w:rsidRPr="00A6430B" w:rsidRDefault="008B4061" w:rsidP="00AF2437">
                              <w:pPr>
                                <w:spacing w:after="0" w:line="240" w:lineRule="auto"/>
                                <w:rPr>
                                  <w:rFonts w:ascii="Verdana" w:eastAsia="Times New Roman" w:hAnsi="Verdana" w:cs="Helvetica"/>
                                  <w:sz w:val="20"/>
                                  <w:szCs w:val="20"/>
                                </w:rPr>
                              </w:pPr>
                              <w:r w:rsidRPr="00A6430B">
                                <w:rPr>
                                  <w:rFonts w:ascii="Verdana" w:eastAsia="Times New Roman" w:hAnsi="Verdana" w:cs="Helvetica"/>
                                  <w:sz w:val="20"/>
                                  <w:szCs w:val="20"/>
                                </w:rPr>
                                <w:t>Interested experts (nominees) are requested to fill out their application form</w:t>
                              </w:r>
                              <w:r w:rsidRPr="00A6430B">
                                <w:rPr>
                                  <w:rFonts w:ascii="Verdana" w:eastAsia="Times New Roman" w:hAnsi="Verdana" w:cs="Helvetica"/>
                                  <w:sz w:val="20"/>
                                </w:rPr>
                                <w:t> </w:t>
                              </w:r>
                              <w:r w:rsidRPr="00A6430B">
                                <w:rPr>
                                  <w:rFonts w:ascii="Verdana" w:eastAsia="Times New Roman" w:hAnsi="Verdana" w:cs="Helvetica"/>
                                  <w:b/>
                                  <w:bCs/>
                                  <w:sz w:val="20"/>
                                </w:rPr>
                                <w:t>no later than 05 May 2016</w:t>
                              </w:r>
                              <w:r w:rsidRPr="00A6430B">
                                <w:rPr>
                                  <w:rFonts w:ascii="Verdana" w:eastAsia="Times New Roman" w:hAnsi="Verdana" w:cs="Helvetica"/>
                                  <w:sz w:val="20"/>
                                  <w:szCs w:val="20"/>
                                </w:rPr>
                                <w:t xml:space="preserve">. Nominators (governments or </w:t>
                              </w:r>
                              <w:proofErr w:type="spellStart"/>
                              <w:r w:rsidRPr="00A6430B">
                                <w:rPr>
                                  <w:rFonts w:ascii="Verdana" w:eastAsia="Times New Roman" w:hAnsi="Verdana" w:cs="Helvetica"/>
                                  <w:sz w:val="20"/>
                                  <w:szCs w:val="20"/>
                                </w:rPr>
                                <w:t>organisations</w:t>
                              </w:r>
                              <w:proofErr w:type="spellEnd"/>
                              <w:r w:rsidRPr="00A6430B">
                                <w:rPr>
                                  <w:rFonts w:ascii="Verdana" w:eastAsia="Times New Roman" w:hAnsi="Verdana" w:cs="Helvetica"/>
                                  <w:sz w:val="20"/>
                                  <w:szCs w:val="20"/>
                                </w:rPr>
                                <w:t>) should submit approved applications by</w:t>
                              </w:r>
                              <w:r w:rsidRPr="00A6430B">
                                <w:rPr>
                                  <w:rFonts w:ascii="Verdana" w:eastAsia="Times New Roman" w:hAnsi="Verdana" w:cs="Helvetica"/>
                                  <w:sz w:val="20"/>
                                </w:rPr>
                                <w:t> </w:t>
                              </w:r>
                              <w:r w:rsidRPr="00A6430B">
                                <w:rPr>
                                  <w:rFonts w:ascii="Verdana" w:eastAsia="Times New Roman" w:hAnsi="Verdana" w:cs="Helvetica"/>
                                  <w:b/>
                                  <w:bCs/>
                                  <w:sz w:val="20"/>
                                </w:rPr>
                                <w:t>15 May 2016 at the latest</w:t>
                              </w:r>
                              <w:r w:rsidRPr="00A6430B">
                                <w:rPr>
                                  <w:rFonts w:ascii="Verdana" w:eastAsia="Times New Roman" w:hAnsi="Verdana" w:cs="Helvetica"/>
                                  <w:sz w:val="20"/>
                                  <w:szCs w:val="20"/>
                                </w:rPr>
                                <w:t xml:space="preserve">. Early nominations ahead of the deadline are encouraged. Experts interested in being nominated are encouraged to contact their IPBES National Focal Point (http://www.ipbes.net/about/members/nfps) or </w:t>
                              </w:r>
                              <w:proofErr w:type="spellStart"/>
                              <w:r w:rsidRPr="00A6430B">
                                <w:rPr>
                                  <w:rFonts w:ascii="Verdana" w:eastAsia="Times New Roman" w:hAnsi="Verdana" w:cs="Helvetica"/>
                                  <w:sz w:val="20"/>
                                  <w:szCs w:val="20"/>
                                </w:rPr>
                                <w:t>organisational</w:t>
                              </w:r>
                              <w:proofErr w:type="spellEnd"/>
                              <w:r w:rsidRPr="00A6430B">
                                <w:rPr>
                                  <w:rFonts w:ascii="Verdana" w:eastAsia="Times New Roman" w:hAnsi="Verdana" w:cs="Helvetica"/>
                                  <w:sz w:val="20"/>
                                  <w:szCs w:val="20"/>
                                </w:rPr>
                                <w:t xml:space="preserve"> contact point as they may be operating under their own timeline.</w:t>
                              </w:r>
                              <w:r w:rsidRPr="00A6430B">
                                <w:rPr>
                                  <w:rFonts w:ascii="Verdana" w:eastAsia="Times New Roman" w:hAnsi="Verdana" w:cs="Helvetica"/>
                                  <w:sz w:val="20"/>
                                  <w:szCs w:val="20"/>
                                </w:rPr>
                                <w:br/>
                              </w:r>
                              <w:r w:rsidRPr="00A6430B">
                                <w:rPr>
                                  <w:rFonts w:ascii="Verdana" w:eastAsia="Times New Roman" w:hAnsi="Verdana" w:cs="Helvetica"/>
                                  <w:sz w:val="20"/>
                                  <w:szCs w:val="20"/>
                                </w:rPr>
                                <w:br/>
                                <w:t>I look forward to your positive response to this letter and for your continued support towards the implementation of our work programme in 2016.</w:t>
                              </w:r>
                              <w:r w:rsidRPr="00A6430B">
                                <w:rPr>
                                  <w:rFonts w:ascii="Verdana" w:eastAsia="Times New Roman" w:hAnsi="Verdana" w:cs="Helvetica"/>
                                  <w:sz w:val="20"/>
                                  <w:szCs w:val="20"/>
                                </w:rPr>
                                <w:br/>
                              </w:r>
                              <w:r w:rsidRPr="00A6430B">
                                <w:rPr>
                                  <w:rFonts w:ascii="Verdana" w:eastAsia="Times New Roman" w:hAnsi="Verdana" w:cs="Helvetica"/>
                                  <w:sz w:val="20"/>
                                  <w:szCs w:val="20"/>
                                </w:rPr>
                                <w:br/>
                                <w:t>Yours sincerely,</w:t>
                              </w:r>
                              <w:r w:rsidRPr="00A6430B">
                                <w:rPr>
                                  <w:rFonts w:ascii="Verdana" w:eastAsia="Times New Roman" w:hAnsi="Verdana" w:cs="Helvetica"/>
                                  <w:sz w:val="20"/>
                                  <w:szCs w:val="20"/>
                                </w:rPr>
                                <w:br/>
                              </w:r>
                              <w:r w:rsidRPr="00A6430B">
                                <w:rPr>
                                  <w:rFonts w:ascii="Verdana" w:eastAsia="Times New Roman" w:hAnsi="Verdana" w:cs="Helvetica"/>
                                  <w:sz w:val="20"/>
                                  <w:szCs w:val="20"/>
                                </w:rPr>
                                <w:br/>
                              </w:r>
                              <w:r w:rsidRPr="00A6430B">
                                <w:rPr>
                                  <w:rFonts w:ascii="Verdana" w:eastAsia="Times New Roman" w:hAnsi="Verdana" w:cs="Helvetica"/>
                                  <w:i/>
                                  <w:iCs/>
                                  <w:sz w:val="20"/>
                                </w:rPr>
                                <w:t>This document has been signed electronically and contains no handwritten signature</w:t>
                              </w:r>
                              <w:r w:rsidRPr="00A6430B">
                                <w:rPr>
                                  <w:rFonts w:ascii="Verdana" w:eastAsia="Times New Roman" w:hAnsi="Verdana" w:cs="Helvetica"/>
                                  <w:sz w:val="20"/>
                                  <w:szCs w:val="20"/>
                                </w:rPr>
                                <w:br/>
                              </w:r>
                              <w:r w:rsidRPr="00A6430B">
                                <w:rPr>
                                  <w:rFonts w:ascii="Verdana" w:eastAsia="Times New Roman" w:hAnsi="Verdana" w:cs="Helvetica"/>
                                  <w:sz w:val="20"/>
                                  <w:szCs w:val="20"/>
                                </w:rPr>
                                <w:br/>
                                <w:t>Sir Robert T. Watson</w:t>
                              </w:r>
                              <w:r w:rsidRPr="00A6430B">
                                <w:rPr>
                                  <w:rFonts w:ascii="Verdana" w:eastAsia="Times New Roman" w:hAnsi="Verdana" w:cs="Helvetica"/>
                                  <w:sz w:val="20"/>
                                  <w:szCs w:val="20"/>
                                </w:rPr>
                                <w:br/>
                                <w:t>Chair, Intergovernmental Platform on Biodiversity and Ecosystem Services</w:t>
                              </w:r>
                            </w:p>
                            <w:p w:rsidR="00F20FD0" w:rsidRPr="00A6430B" w:rsidRDefault="00F20FD0" w:rsidP="00AF2437">
                              <w:pPr>
                                <w:spacing w:after="0" w:line="240" w:lineRule="auto"/>
                                <w:rPr>
                                  <w:rFonts w:ascii="Verdana" w:eastAsia="Times New Roman" w:hAnsi="Verdana" w:cs="Helvetica"/>
                                  <w:sz w:val="20"/>
                                  <w:szCs w:val="20"/>
                                </w:rPr>
                              </w:pPr>
                            </w:p>
                            <w:p w:rsidR="00F20FD0" w:rsidRPr="00A6430B" w:rsidRDefault="00F20FD0" w:rsidP="00AF2437">
                              <w:pPr>
                                <w:spacing w:after="0" w:line="240" w:lineRule="auto"/>
                                <w:rPr>
                                  <w:rFonts w:ascii="Verdana" w:eastAsia="Times New Roman" w:hAnsi="Verdana" w:cs="Helvetica"/>
                                  <w:sz w:val="20"/>
                                  <w:szCs w:val="20"/>
                                </w:rPr>
                              </w:pPr>
                            </w:p>
                            <w:p w:rsidR="00F20FD0" w:rsidRPr="00A6430B" w:rsidRDefault="00F20FD0" w:rsidP="00F20FD0">
                              <w:pPr>
                                <w:spacing w:after="0" w:line="240" w:lineRule="auto"/>
                                <w:rPr>
                                  <w:rFonts w:ascii="Verdana" w:eastAsia="Times New Roman" w:hAnsi="Verdana" w:cs="Helvetica"/>
                                  <w:sz w:val="20"/>
                                  <w:szCs w:val="20"/>
                                </w:rPr>
                              </w:pPr>
                              <w:r w:rsidRPr="00A6430B">
                                <w:rPr>
                                  <w:rFonts w:ascii="Verdana" w:eastAsia="Times New Roman" w:hAnsi="Verdana"/>
                                  <w:b/>
                                  <w:bCs/>
                                  <w:sz w:val="20"/>
                                  <w:szCs w:val="20"/>
                                </w:rPr>
                                <w:t>Our mailing address is:</w:t>
                              </w:r>
                            </w:p>
                            <w:p w:rsidR="00F20FD0" w:rsidRPr="00A6430B" w:rsidRDefault="00F20FD0" w:rsidP="00F20FD0">
                              <w:pPr>
                                <w:spacing w:after="0" w:line="240" w:lineRule="auto"/>
                                <w:rPr>
                                  <w:rFonts w:ascii="Verdana" w:eastAsia="Times New Roman" w:hAnsi="Verdana" w:cs="Helvetica"/>
                                  <w:sz w:val="20"/>
                                  <w:szCs w:val="20"/>
                                </w:rPr>
                              </w:pPr>
                              <w:r w:rsidRPr="00A6430B">
                                <w:rPr>
                                  <w:rFonts w:ascii="Verdana" w:eastAsia="Times New Roman" w:hAnsi="Verdana"/>
                                  <w:sz w:val="20"/>
                                  <w:szCs w:val="20"/>
                                </w:rPr>
                                <w:t>IPBES Secretariat</w:t>
                              </w:r>
                            </w:p>
                            <w:p w:rsidR="00F20FD0" w:rsidRPr="00A6430B" w:rsidRDefault="00F20FD0" w:rsidP="00F20FD0">
                              <w:pPr>
                                <w:spacing w:after="0" w:line="240" w:lineRule="auto"/>
                                <w:rPr>
                                  <w:rFonts w:ascii="Verdana" w:eastAsia="Times New Roman" w:hAnsi="Verdana" w:cs="Helvetica"/>
                                  <w:sz w:val="20"/>
                                  <w:szCs w:val="20"/>
                                  <w:lang w:val="fr-FR"/>
                                </w:rPr>
                              </w:pPr>
                              <w:r w:rsidRPr="00A6430B">
                                <w:rPr>
                                  <w:rFonts w:ascii="Verdana" w:eastAsia="Times New Roman" w:hAnsi="Verdana" w:cs="Helvetica"/>
                                  <w:sz w:val="20"/>
                                  <w:szCs w:val="20"/>
                                  <w:lang w:val="fr-FR"/>
                                </w:rPr>
                                <w:t>UN Campus</w:t>
                              </w:r>
                            </w:p>
                            <w:p w:rsidR="00F20FD0" w:rsidRPr="00A6430B" w:rsidRDefault="00F20FD0" w:rsidP="00F20FD0">
                              <w:pPr>
                                <w:spacing w:after="0" w:line="240" w:lineRule="auto"/>
                                <w:rPr>
                                  <w:rFonts w:ascii="Verdana" w:eastAsia="Times New Roman" w:hAnsi="Verdana" w:cs="Helvetica"/>
                                  <w:sz w:val="20"/>
                                  <w:szCs w:val="20"/>
                                  <w:lang w:val="fr-FR"/>
                                </w:rPr>
                              </w:pPr>
                              <w:proofErr w:type="spellStart"/>
                              <w:r w:rsidRPr="00A6430B">
                                <w:rPr>
                                  <w:rFonts w:ascii="Verdana" w:eastAsia="Times New Roman" w:hAnsi="Verdana" w:cs="Helvetica"/>
                                  <w:sz w:val="20"/>
                                  <w:szCs w:val="20"/>
                                  <w:lang w:val="fr-FR"/>
                                </w:rPr>
                                <w:t>Platz</w:t>
                              </w:r>
                              <w:proofErr w:type="spellEnd"/>
                              <w:r w:rsidRPr="00A6430B">
                                <w:rPr>
                                  <w:rFonts w:ascii="Verdana" w:eastAsia="Times New Roman" w:hAnsi="Verdana" w:cs="Helvetica"/>
                                  <w:sz w:val="20"/>
                                  <w:szCs w:val="20"/>
                                  <w:lang w:val="fr-FR"/>
                                </w:rPr>
                                <w:t xml:space="preserve"> der </w:t>
                              </w:r>
                              <w:proofErr w:type="spellStart"/>
                              <w:r w:rsidRPr="00A6430B">
                                <w:rPr>
                                  <w:rFonts w:ascii="Verdana" w:eastAsia="Times New Roman" w:hAnsi="Verdana" w:cs="Helvetica"/>
                                  <w:sz w:val="20"/>
                                  <w:szCs w:val="20"/>
                                  <w:lang w:val="fr-FR"/>
                                </w:rPr>
                                <w:t>Vereinten</w:t>
                              </w:r>
                              <w:proofErr w:type="spellEnd"/>
                              <w:r w:rsidRPr="00A6430B">
                                <w:rPr>
                                  <w:rFonts w:ascii="Verdana" w:eastAsia="Times New Roman" w:hAnsi="Verdana" w:cs="Helvetica"/>
                                  <w:sz w:val="20"/>
                                  <w:szCs w:val="20"/>
                                  <w:lang w:val="fr-FR"/>
                                </w:rPr>
                                <w:t xml:space="preserve"> </w:t>
                              </w:r>
                              <w:proofErr w:type="spellStart"/>
                              <w:r w:rsidRPr="00A6430B">
                                <w:rPr>
                                  <w:rFonts w:ascii="Verdana" w:eastAsia="Times New Roman" w:hAnsi="Verdana" w:cs="Helvetica"/>
                                  <w:sz w:val="20"/>
                                  <w:szCs w:val="20"/>
                                  <w:lang w:val="fr-FR"/>
                                </w:rPr>
                                <w:t>Nationen</w:t>
                              </w:r>
                              <w:proofErr w:type="spellEnd"/>
                              <w:r w:rsidRPr="00A6430B">
                                <w:rPr>
                                  <w:rFonts w:ascii="Verdana" w:eastAsia="Times New Roman" w:hAnsi="Verdana" w:cs="Helvetica"/>
                                  <w:sz w:val="20"/>
                                  <w:szCs w:val="20"/>
                                  <w:lang w:val="fr-FR"/>
                                </w:rPr>
                                <w:t xml:space="preserve"> 1</w:t>
                              </w:r>
                            </w:p>
                            <w:p w:rsidR="00F20FD0" w:rsidRPr="00A6430B" w:rsidRDefault="00F20FD0" w:rsidP="00F20FD0">
                              <w:pPr>
                                <w:spacing w:after="0" w:line="240" w:lineRule="auto"/>
                                <w:rPr>
                                  <w:rFonts w:ascii="Verdana" w:eastAsia="Times New Roman" w:hAnsi="Verdana" w:cs="Helvetica"/>
                                  <w:sz w:val="20"/>
                                  <w:szCs w:val="20"/>
                                </w:rPr>
                              </w:pPr>
                              <w:r w:rsidRPr="00A6430B">
                                <w:rPr>
                                  <w:rFonts w:ascii="Verdana" w:eastAsia="Times New Roman" w:hAnsi="Verdana"/>
                                  <w:sz w:val="20"/>
                                  <w:szCs w:val="20"/>
                                </w:rPr>
                                <w:t>Bonn</w:t>
                              </w:r>
                              <w:r w:rsidRPr="00A6430B">
                                <w:rPr>
                                  <w:rFonts w:ascii="Verdana" w:eastAsia="Times New Roman" w:hAnsi="Verdana" w:cs="Helvetica"/>
                                  <w:sz w:val="20"/>
                                  <w:szCs w:val="20"/>
                                </w:rPr>
                                <w:t xml:space="preserve"> </w:t>
                              </w:r>
                              <w:r w:rsidRPr="00A6430B">
                                <w:rPr>
                                  <w:rFonts w:ascii="Verdana" w:eastAsia="Times New Roman" w:hAnsi="Verdana"/>
                                  <w:sz w:val="20"/>
                                  <w:szCs w:val="20"/>
                                </w:rPr>
                                <w:t>53113</w:t>
                              </w:r>
                              <w:r w:rsidRPr="00A6430B">
                                <w:rPr>
                                  <w:rFonts w:ascii="Verdana" w:eastAsia="Times New Roman" w:hAnsi="Verdana" w:cs="Helvetica"/>
                                  <w:sz w:val="20"/>
                                  <w:szCs w:val="20"/>
                                </w:rPr>
                                <w:t xml:space="preserve"> </w:t>
                              </w:r>
                            </w:p>
                            <w:p w:rsidR="00F20FD0" w:rsidRPr="00A6430B" w:rsidRDefault="00F20FD0" w:rsidP="00F20FD0">
                              <w:pPr>
                                <w:spacing w:after="0" w:line="240" w:lineRule="auto"/>
                                <w:rPr>
                                  <w:rFonts w:ascii="Verdana" w:eastAsia="Times New Roman" w:hAnsi="Verdana" w:cs="Helvetica"/>
                                  <w:sz w:val="20"/>
                                  <w:szCs w:val="20"/>
                                </w:rPr>
                              </w:pPr>
                              <w:r w:rsidRPr="00A6430B">
                                <w:rPr>
                                  <w:rFonts w:ascii="Verdana" w:eastAsia="Times New Roman" w:hAnsi="Verdana" w:cs="Helvetica"/>
                                  <w:sz w:val="20"/>
                                  <w:szCs w:val="20"/>
                                </w:rPr>
                                <w:t>Germany</w:t>
                              </w:r>
                            </w:p>
                            <w:p w:rsidR="00F20FD0" w:rsidRPr="008B4061" w:rsidRDefault="00F20FD0" w:rsidP="00AF2437">
                              <w:pPr>
                                <w:spacing w:after="0" w:line="240" w:lineRule="auto"/>
                                <w:rPr>
                                  <w:rFonts w:ascii="Helvetica" w:eastAsia="Times New Roman" w:hAnsi="Helvetica" w:cs="Helvetica"/>
                                  <w:color w:val="606060"/>
                                  <w:sz w:val="25"/>
                                  <w:szCs w:val="25"/>
                                </w:rPr>
                              </w:pPr>
                            </w:p>
                          </w:tc>
                        </w:tr>
                      </w:tbl>
                      <w:p w:rsidR="008B4061" w:rsidRPr="008B4061" w:rsidRDefault="008B4061" w:rsidP="008B4061">
                        <w:pPr>
                          <w:spacing w:after="0" w:line="240" w:lineRule="auto"/>
                          <w:rPr>
                            <w:rFonts w:ascii="Times New Roman" w:eastAsia="Times New Roman" w:hAnsi="Times New Roman" w:cs="Times New Roman"/>
                            <w:sz w:val="24"/>
                            <w:szCs w:val="24"/>
                          </w:rPr>
                        </w:pPr>
                      </w:p>
                    </w:tc>
                  </w:tr>
                </w:tbl>
                <w:p w:rsidR="008B4061" w:rsidRPr="008B4061" w:rsidRDefault="008B4061" w:rsidP="008B4061">
                  <w:pPr>
                    <w:spacing w:after="0" w:line="240" w:lineRule="auto"/>
                    <w:rPr>
                      <w:rFonts w:ascii="Times New Roman" w:eastAsia="Times New Roman" w:hAnsi="Times New Roman" w:cs="Times New Roman"/>
                      <w:sz w:val="24"/>
                      <w:szCs w:val="24"/>
                    </w:rPr>
                  </w:pPr>
                </w:p>
              </w:tc>
            </w:tr>
          </w:tbl>
          <w:p w:rsidR="008B4061" w:rsidRPr="008B4061" w:rsidRDefault="008B4061" w:rsidP="008B4061">
            <w:pPr>
              <w:spacing w:after="0" w:line="240" w:lineRule="auto"/>
              <w:jc w:val="center"/>
              <w:rPr>
                <w:rFonts w:ascii="Times New Roman" w:eastAsia="Times New Roman" w:hAnsi="Times New Roman" w:cs="Times New Roman"/>
                <w:color w:val="000000"/>
                <w:sz w:val="27"/>
                <w:szCs w:val="27"/>
              </w:rPr>
            </w:pPr>
          </w:p>
        </w:tc>
      </w:tr>
    </w:tbl>
    <w:p w:rsidR="008B4061" w:rsidRDefault="008B4061" w:rsidP="00AF2437">
      <w:pPr>
        <w:pStyle w:val="NoSpacing"/>
        <w:rPr>
          <w:rFonts w:ascii="Arial" w:hAnsi="Arial" w:cs="Arial"/>
        </w:rPr>
      </w:pPr>
    </w:p>
    <w:sectPr w:rsidR="008B4061" w:rsidSect="0016530E">
      <w:pgSz w:w="12240" w:h="15840"/>
      <w:pgMar w:top="5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4115"/>
    <w:multiLevelType w:val="multilevel"/>
    <w:tmpl w:val="11A0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34DD3"/>
    <w:multiLevelType w:val="multilevel"/>
    <w:tmpl w:val="AF7486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3ECB4547"/>
    <w:multiLevelType w:val="multilevel"/>
    <w:tmpl w:val="D550E0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59073457"/>
    <w:multiLevelType w:val="multilevel"/>
    <w:tmpl w:val="3B3C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2"/>
    </w:lvlOverride>
  </w:num>
  <w:num w:numId="3">
    <w:abstractNumId w:val="2"/>
    <w:lvlOverride w:ilvl="0">
      <w:startOverride w:val="3"/>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4061"/>
    <w:rsid w:val="00161051"/>
    <w:rsid w:val="0016530E"/>
    <w:rsid w:val="00372D2D"/>
    <w:rsid w:val="003E136D"/>
    <w:rsid w:val="00551D0B"/>
    <w:rsid w:val="005A0136"/>
    <w:rsid w:val="005C75B8"/>
    <w:rsid w:val="0086628B"/>
    <w:rsid w:val="008B4061"/>
    <w:rsid w:val="009E3927"/>
    <w:rsid w:val="00A6430B"/>
    <w:rsid w:val="00AE1A37"/>
    <w:rsid w:val="00AF2437"/>
    <w:rsid w:val="00DD1935"/>
    <w:rsid w:val="00DE0095"/>
    <w:rsid w:val="00F20FD0"/>
    <w:rsid w:val="00FC1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4061"/>
    <w:pPr>
      <w:spacing w:after="0" w:line="240" w:lineRule="auto"/>
    </w:pPr>
  </w:style>
  <w:style w:type="character" w:styleId="Hyperlink">
    <w:name w:val="Hyperlink"/>
    <w:basedOn w:val="DefaultParagraphFont"/>
    <w:uiPriority w:val="99"/>
    <w:unhideWhenUsed/>
    <w:rsid w:val="008B4061"/>
    <w:rPr>
      <w:color w:val="0000FF"/>
      <w:u w:val="single"/>
    </w:rPr>
  </w:style>
  <w:style w:type="paragraph" w:styleId="NormalWeb">
    <w:name w:val="Normal (Web)"/>
    <w:basedOn w:val="Normal"/>
    <w:uiPriority w:val="99"/>
    <w:semiHidden/>
    <w:unhideWhenUsed/>
    <w:rsid w:val="008B4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4061"/>
  </w:style>
  <w:style w:type="character" w:styleId="Strong">
    <w:name w:val="Strong"/>
    <w:basedOn w:val="DefaultParagraphFont"/>
    <w:uiPriority w:val="22"/>
    <w:qFormat/>
    <w:rsid w:val="008B4061"/>
    <w:rPr>
      <w:b/>
      <w:bCs/>
    </w:rPr>
  </w:style>
  <w:style w:type="character" w:styleId="Emphasis">
    <w:name w:val="Emphasis"/>
    <w:basedOn w:val="DefaultParagraphFont"/>
    <w:uiPriority w:val="20"/>
    <w:qFormat/>
    <w:rsid w:val="008B4061"/>
    <w:rPr>
      <w:i/>
      <w:iCs/>
    </w:rPr>
  </w:style>
  <w:style w:type="character" w:customStyle="1" w:styleId="org">
    <w:name w:val="org"/>
    <w:basedOn w:val="DefaultParagraphFont"/>
    <w:rsid w:val="00F20FD0"/>
  </w:style>
  <w:style w:type="character" w:customStyle="1" w:styleId="locality">
    <w:name w:val="locality"/>
    <w:basedOn w:val="DefaultParagraphFont"/>
    <w:rsid w:val="00F20FD0"/>
  </w:style>
  <w:style w:type="character" w:customStyle="1" w:styleId="postal-code">
    <w:name w:val="postal-code"/>
    <w:basedOn w:val="DefaultParagraphFont"/>
    <w:rsid w:val="00F20FD0"/>
  </w:style>
</w:styles>
</file>

<file path=word/webSettings.xml><?xml version="1.0" encoding="utf-8"?>
<w:webSettings xmlns:r="http://schemas.openxmlformats.org/officeDocument/2006/relationships" xmlns:w="http://schemas.openxmlformats.org/wordprocessingml/2006/main">
  <w:divs>
    <w:div w:id="1140881330">
      <w:bodyDiv w:val="1"/>
      <w:marLeft w:val="0"/>
      <w:marRight w:val="0"/>
      <w:marTop w:val="0"/>
      <w:marBottom w:val="0"/>
      <w:divBdr>
        <w:top w:val="none" w:sz="0" w:space="0" w:color="auto"/>
        <w:left w:val="none" w:sz="0" w:space="0" w:color="auto"/>
        <w:bottom w:val="none" w:sz="0" w:space="0" w:color="auto"/>
        <w:right w:val="none" w:sz="0" w:space="0" w:color="auto"/>
      </w:divBdr>
    </w:div>
    <w:div w:id="1328971495">
      <w:bodyDiv w:val="1"/>
      <w:marLeft w:val="0"/>
      <w:marRight w:val="0"/>
      <w:marTop w:val="0"/>
      <w:marBottom w:val="0"/>
      <w:divBdr>
        <w:top w:val="none" w:sz="0" w:space="0" w:color="auto"/>
        <w:left w:val="none" w:sz="0" w:space="0" w:color="auto"/>
        <w:bottom w:val="none" w:sz="0" w:space="0" w:color="auto"/>
        <w:right w:val="none" w:sz="0" w:space="0" w:color="auto"/>
      </w:divBdr>
    </w:div>
    <w:div w:id="188979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bes.net/applicationfor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llery.mailchimp.com/5da0fed71c7e4399fb28ab549/files/Additional_guidance_fellowship_programme.pdf" TargetMode="External"/><Relationship Id="rId5" Type="http://schemas.openxmlformats.org/officeDocument/2006/relationships/image" Target="https://gallery.mailchimp.com/5da0fed71c7e4399fb28ab549/images/newsletter_BLUE.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Admin Officer</cp:lastModifiedBy>
  <cp:revision>12</cp:revision>
  <dcterms:created xsi:type="dcterms:W3CDTF">2016-03-14T08:22:00Z</dcterms:created>
  <dcterms:modified xsi:type="dcterms:W3CDTF">2016-03-14T10:36:00Z</dcterms:modified>
</cp:coreProperties>
</file>